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94C" w14:textId="77777777" w:rsidR="00F54F74" w:rsidRPr="00207F05" w:rsidRDefault="001D3754" w:rsidP="00000DE1">
      <w:pPr>
        <w:pStyle w:val="Heading1"/>
        <w:spacing w:before="0"/>
      </w:pPr>
      <w:r w:rsidRPr="00207F05">
        <w:t>General</w:t>
      </w:r>
    </w:p>
    <w:p w14:paraId="4F073751" w14:textId="105DC435" w:rsidR="0007264B" w:rsidRPr="0052399D" w:rsidRDefault="0007264B" w:rsidP="009738B9">
      <w:pPr>
        <w:pStyle w:val="Heading2"/>
      </w:pPr>
      <w:r w:rsidRPr="0052399D">
        <w:t>S</w:t>
      </w:r>
      <w:r w:rsidR="005C3E54">
        <w:t>ummary</w:t>
      </w:r>
    </w:p>
    <w:p w14:paraId="51E74254" w14:textId="2FE86B8E" w:rsidR="005C3E54" w:rsidRDefault="005C3E54" w:rsidP="0007264B">
      <w:pPr>
        <w:pStyle w:val="ListNumber"/>
      </w:pPr>
      <w:r>
        <w:t>The Work of this Section includes, but is not limited to the following:</w:t>
      </w:r>
    </w:p>
    <w:p w14:paraId="38A08638" w14:textId="3BEC31BB" w:rsidR="005C3E54" w:rsidRDefault="005C3E54" w:rsidP="005C3E54">
      <w:pPr>
        <w:pStyle w:val="ListNumber2"/>
      </w:pPr>
      <w:r>
        <w:t>Surety bonds</w:t>
      </w:r>
    </w:p>
    <w:p w14:paraId="0C7DB2AC" w14:textId="1E5C3F3E" w:rsidR="005C3E54" w:rsidRDefault="005C3E54" w:rsidP="005C3E54">
      <w:pPr>
        <w:pStyle w:val="ListNumber2"/>
      </w:pPr>
      <w:r w:rsidRPr="0052399D">
        <w:t>Insurance</w:t>
      </w:r>
    </w:p>
    <w:p w14:paraId="16E3558D" w14:textId="3EE6A0AD" w:rsidR="005C3E54" w:rsidRDefault="005C3E54" w:rsidP="005C3E54">
      <w:pPr>
        <w:pStyle w:val="ListNumber2"/>
      </w:pPr>
      <w:r w:rsidRPr="00625505">
        <w:t>Warranty security holdback</w:t>
      </w:r>
    </w:p>
    <w:p w14:paraId="30AED84D" w14:textId="0592CFD7" w:rsidR="005C3E54" w:rsidRDefault="005C3E54" w:rsidP="005C3E54">
      <w:pPr>
        <w:pStyle w:val="ListNumber2"/>
      </w:pPr>
      <w:r w:rsidRPr="0050391D">
        <w:t xml:space="preserve">Basis </w:t>
      </w:r>
      <w:r>
        <w:t>o</w:t>
      </w:r>
      <w:r w:rsidRPr="0050391D">
        <w:t xml:space="preserve">f </w:t>
      </w:r>
      <w:r>
        <w:t>p</w:t>
      </w:r>
      <w:r w:rsidRPr="0050391D">
        <w:t>ayment</w:t>
      </w:r>
    </w:p>
    <w:p w14:paraId="2F331A64" w14:textId="77777777" w:rsidR="0007264B" w:rsidRPr="0052399D" w:rsidRDefault="009738B9" w:rsidP="009738B9">
      <w:pPr>
        <w:pStyle w:val="Heading2"/>
      </w:pPr>
      <w:r w:rsidRPr="0052399D">
        <w:t>Surety bonds</w:t>
      </w:r>
    </w:p>
    <w:p w14:paraId="56882F84" w14:textId="77777777" w:rsidR="0007264B" w:rsidRPr="0052399D" w:rsidRDefault="0007264B" w:rsidP="00124FF1">
      <w:pPr>
        <w:pStyle w:val="ListNumber"/>
      </w:pPr>
      <w:r w:rsidRPr="0052399D">
        <w:t xml:space="preserve">Provide a </w:t>
      </w:r>
      <w:r w:rsidR="001255F4" w:rsidRPr="0052399D">
        <w:t xml:space="preserve">performance bond in </w:t>
      </w:r>
      <w:r w:rsidRPr="0052399D">
        <w:t xml:space="preserve">an amount equal to fifty per cent (50%) of the tendered price for the faithful performance of the Contract, including all obligations during </w:t>
      </w:r>
      <w:r w:rsidR="001255F4" w:rsidRPr="0052399D">
        <w:t>the warranty perio</w:t>
      </w:r>
      <w:r w:rsidRPr="0052399D">
        <w:t xml:space="preserve">d. </w:t>
      </w:r>
      <w:r w:rsidR="001255F4">
        <w:t xml:space="preserve"> </w:t>
      </w:r>
      <w:r w:rsidRPr="0052399D">
        <w:t xml:space="preserve">The </w:t>
      </w:r>
      <w:r w:rsidR="001255F4" w:rsidRPr="0052399D">
        <w:t xml:space="preserve">warranty period </w:t>
      </w:r>
      <w:r w:rsidRPr="0052399D">
        <w:t xml:space="preserve">will be extended if </w:t>
      </w:r>
      <w:r w:rsidRPr="005C3E54">
        <w:t xml:space="preserve">known deficiencies are incomplete upon expiration of the </w:t>
      </w:r>
      <w:r w:rsidR="00000DE1" w:rsidRPr="005C3E54">
        <w:t>two (2)</w:t>
      </w:r>
      <w:r w:rsidRPr="005C3E54">
        <w:t xml:space="preserve"> year peri</w:t>
      </w:r>
      <w:r w:rsidRPr="0052399D">
        <w:t xml:space="preserve">od.  In any case, </w:t>
      </w:r>
      <w:r w:rsidR="001255F4" w:rsidRPr="0052399D">
        <w:t xml:space="preserve">the performance bond shall continue until the final acceptance certificate </w:t>
      </w:r>
      <w:r w:rsidRPr="0052399D">
        <w:t xml:space="preserve">has been issued by the </w:t>
      </w:r>
      <w:r w:rsidR="001255F4">
        <w:t>Owner</w:t>
      </w:r>
      <w:r w:rsidRPr="0052399D">
        <w:t xml:space="preserve"> in accordance with General Conditions.</w:t>
      </w:r>
    </w:p>
    <w:p w14:paraId="4193B5D7" w14:textId="77777777" w:rsidR="0007264B" w:rsidRDefault="0007264B" w:rsidP="00A11BC1">
      <w:pPr>
        <w:pStyle w:val="ListNumber"/>
      </w:pPr>
      <w:r w:rsidRPr="0052399D">
        <w:t xml:space="preserve">Provide </w:t>
      </w:r>
      <w:r w:rsidR="001255F4" w:rsidRPr="0052399D">
        <w:t xml:space="preserve">a </w:t>
      </w:r>
      <w:r w:rsidR="001255F4">
        <w:t>labour and material payment bond</w:t>
      </w:r>
      <w:r w:rsidR="001255F4" w:rsidRPr="0052399D">
        <w:t xml:space="preserve"> </w:t>
      </w:r>
      <w:r w:rsidRPr="0052399D">
        <w:t xml:space="preserve">in an amount equal to fifty per cent (50%) of the tendered price for the faithful payment of all labour and materials related to this </w:t>
      </w:r>
      <w:r w:rsidR="001255F4">
        <w:t>Contract</w:t>
      </w:r>
      <w:r w:rsidR="009E22AB">
        <w:t>.</w:t>
      </w:r>
    </w:p>
    <w:p w14:paraId="5AB3DF9B" w14:textId="39A27341" w:rsidR="00352A8B" w:rsidRPr="0052399D" w:rsidRDefault="00352A8B" w:rsidP="00352A8B">
      <w:pPr>
        <w:pStyle w:val="ListNumber"/>
      </w:pPr>
      <w:r>
        <w:t>Bonds forms shall be as specified in Appendix B – Supplementary Conditions to CCDC 2</w:t>
      </w:r>
      <w:r w:rsidR="005C3E54">
        <w:t>-2020</w:t>
      </w:r>
      <w:r>
        <w:t>.</w:t>
      </w:r>
    </w:p>
    <w:p w14:paraId="5919A6C9" w14:textId="77777777" w:rsidR="005C3E54" w:rsidRDefault="0007264B" w:rsidP="0007264B">
      <w:pPr>
        <w:pStyle w:val="ListNumber"/>
      </w:pPr>
      <w:r w:rsidRPr="005C3E54">
        <w:t>Bonds shall not be extended to cover any work beyond the original scope of the Work unless explicitly requested by the Owner.  The</w:t>
      </w:r>
      <w:r w:rsidRPr="00A403C1">
        <w:t xml:space="preserve"> Contractor shall not be entitled to claim for bonding on such additional work unless such additional bonding is requested by the Owner.</w:t>
      </w:r>
    </w:p>
    <w:p w14:paraId="419629BB" w14:textId="5328A39D" w:rsidR="0007264B" w:rsidRPr="00A403C1" w:rsidRDefault="0007264B" w:rsidP="0007264B">
      <w:pPr>
        <w:pStyle w:val="ListNumber"/>
      </w:pPr>
      <w:r w:rsidRPr="00A403C1">
        <w:t>The Owner accepts that all additional work performed by Change Order is not covered by the bonds.  The Owner shall not be entitled to a credit related to the bonds if a change in the Work results in a reduction of the Contract Price.</w:t>
      </w:r>
    </w:p>
    <w:p w14:paraId="38CBBE68" w14:textId="77777777" w:rsidR="0007264B" w:rsidRPr="0052399D" w:rsidRDefault="001255F4" w:rsidP="0007264B">
      <w:pPr>
        <w:pStyle w:val="ListNumber"/>
      </w:pPr>
      <w:r>
        <w:t>Any c</w:t>
      </w:r>
      <w:r w:rsidRPr="0052399D">
        <w:t xml:space="preserve">ontract progress reports </w:t>
      </w:r>
      <w:r>
        <w:t>issued by the Contractor’s s</w:t>
      </w:r>
      <w:r w:rsidRPr="0052399D">
        <w:t xml:space="preserve">urety </w:t>
      </w:r>
      <w:r>
        <w:t xml:space="preserve">company </w:t>
      </w:r>
      <w:r w:rsidRPr="0052399D">
        <w:t xml:space="preserve">must </w:t>
      </w:r>
      <w:r w:rsidR="0007264B" w:rsidRPr="0052399D">
        <w:t>be issued directly to the Owner or Consultant at the address provided.</w:t>
      </w:r>
    </w:p>
    <w:p w14:paraId="7B545C97" w14:textId="77777777" w:rsidR="0007264B" w:rsidRDefault="0007264B" w:rsidP="009738B9">
      <w:pPr>
        <w:pStyle w:val="Heading2"/>
      </w:pPr>
      <w:r w:rsidRPr="0052399D">
        <w:lastRenderedPageBreak/>
        <w:t>Insurance</w:t>
      </w:r>
    </w:p>
    <w:p w14:paraId="6E7111A0" w14:textId="55BC735C" w:rsidR="0007264B" w:rsidRPr="0052399D" w:rsidRDefault="0007264B" w:rsidP="0007264B">
      <w:pPr>
        <w:pStyle w:val="ListNumber"/>
      </w:pPr>
      <w:r w:rsidRPr="0052399D">
        <w:t xml:space="preserve">Provide insurance as required by GC 11.1 of the </w:t>
      </w:r>
      <w:r w:rsidR="00D37E2F">
        <w:t>CCDC 2</w:t>
      </w:r>
      <w:r w:rsidR="005C3E54">
        <w:t>-2020</w:t>
      </w:r>
      <w:r w:rsidRPr="0052399D">
        <w:t xml:space="preserve">, as amended by </w:t>
      </w:r>
      <w:r w:rsidR="00D37E2F">
        <w:t xml:space="preserve">Appendix B – </w:t>
      </w:r>
      <w:r w:rsidR="00352A8B">
        <w:t>Supplementary Conditions to CCDC 2</w:t>
      </w:r>
      <w:r w:rsidR="005C3E54">
        <w:t>-2020</w:t>
      </w:r>
      <w:r w:rsidRPr="0052399D">
        <w:t>.</w:t>
      </w:r>
    </w:p>
    <w:p w14:paraId="02BE223C" w14:textId="77777777" w:rsidR="0007264B" w:rsidRPr="00625505" w:rsidRDefault="009738B9" w:rsidP="009738B9">
      <w:pPr>
        <w:pStyle w:val="Heading2"/>
      </w:pPr>
      <w:r w:rsidRPr="00625505">
        <w:t>Warranty security holdback</w:t>
      </w:r>
    </w:p>
    <w:p w14:paraId="53341C0E" w14:textId="2F4874F4" w:rsidR="0007264B" w:rsidRDefault="005C3E54" w:rsidP="0007264B">
      <w:pPr>
        <w:pStyle w:val="SpecNote"/>
        <w:keepNext/>
      </w:pPr>
      <w:proofErr w:type="spellStart"/>
      <w:r w:rsidRPr="005C3E54">
        <w:rPr>
          <w:b/>
          <w:bCs/>
        </w:rPr>
        <w:t>RoD</w:t>
      </w:r>
      <w:proofErr w:type="spellEnd"/>
      <w:r w:rsidRPr="005C3E54">
        <w:rPr>
          <w:b/>
          <w:bCs/>
        </w:rPr>
        <w:t xml:space="preserve"> SPEC NOTE:</w:t>
      </w:r>
      <w:r>
        <w:t xml:space="preserve">  </w:t>
      </w:r>
      <w:r w:rsidR="0007264B">
        <w:t>This holdback will be applicable to all tenders except for tenders that are strictly demolition work.</w:t>
      </w:r>
    </w:p>
    <w:p w14:paraId="0C59B588" w14:textId="65F38256" w:rsidR="005C3E54" w:rsidRDefault="005C3E54" w:rsidP="0007264B">
      <w:pPr>
        <w:pStyle w:val="SpecNote"/>
        <w:keepNext/>
      </w:pPr>
      <w:proofErr w:type="spellStart"/>
      <w:r w:rsidRPr="005C3E54">
        <w:rPr>
          <w:b/>
          <w:bCs/>
        </w:rPr>
        <w:t>RoD</w:t>
      </w:r>
      <w:proofErr w:type="spellEnd"/>
      <w:r w:rsidRPr="005C3E54">
        <w:rPr>
          <w:b/>
          <w:bCs/>
        </w:rPr>
        <w:t xml:space="preserve"> SPEC NOTE:</w:t>
      </w:r>
      <w:r>
        <w:t xml:space="preserve">  </w:t>
      </w:r>
      <w:proofErr w:type="spellStart"/>
      <w:r w:rsidRPr="00092DCE">
        <w:rPr>
          <w:highlight w:val="yellow"/>
        </w:rPr>
        <w:t>RoD</w:t>
      </w:r>
      <w:proofErr w:type="spellEnd"/>
      <w:r w:rsidRPr="00092DCE">
        <w:rPr>
          <w:highlight w:val="yellow"/>
        </w:rPr>
        <w:t xml:space="preserve"> Specs and Support Services (S&amp;SS) will calculate the fill in the Warranty Security Holdback identified below.</w:t>
      </w:r>
      <w:r>
        <w:t xml:space="preserve">  Please leave the highlighted area as shown and S&amp;SS will provide the value during 90% Review.</w:t>
      </w:r>
    </w:p>
    <w:p w14:paraId="17EAC9B0" w14:textId="77777777" w:rsidR="0007264B" w:rsidRPr="00625505" w:rsidRDefault="0007264B" w:rsidP="0007264B">
      <w:pPr>
        <w:pStyle w:val="ListNumber"/>
      </w:pPr>
      <w:r w:rsidRPr="00625505">
        <w:t xml:space="preserve">A </w:t>
      </w:r>
      <w:r w:rsidR="001255F4" w:rsidRPr="00625505">
        <w:t xml:space="preserve">warranty security holdback will </w:t>
      </w:r>
      <w:r w:rsidRPr="00625505">
        <w:t xml:space="preserve">be retained progressively, commencing on the </w:t>
      </w:r>
      <w:r w:rsidR="001255F4" w:rsidRPr="00625505">
        <w:t xml:space="preserve">first payment certificate, from </w:t>
      </w:r>
      <w:r w:rsidRPr="00625505">
        <w:t xml:space="preserve">monies that would otherwise be payable to the Contractor, up to a maximum value of </w:t>
      </w:r>
      <w:r w:rsidRPr="00625505">
        <w:rPr>
          <w:highlight w:val="yellow"/>
        </w:rPr>
        <w:t>$</w:t>
      </w:r>
      <w:r w:rsidRPr="00625505">
        <w:rPr>
          <w:highlight w:val="yellow"/>
          <w:u w:val="single"/>
        </w:rPr>
        <w:t xml:space="preserve">          </w:t>
      </w:r>
      <w:r w:rsidRPr="00625505">
        <w:rPr>
          <w:highlight w:val="yellow"/>
        </w:rPr>
        <w:t>.</w:t>
      </w:r>
    </w:p>
    <w:p w14:paraId="25481BF0" w14:textId="77777777" w:rsidR="00245517" w:rsidRDefault="0007264B" w:rsidP="00245517">
      <w:pPr>
        <w:pStyle w:val="ListNumber"/>
      </w:pPr>
      <w:r w:rsidRPr="00625505">
        <w:t xml:space="preserve">The </w:t>
      </w:r>
      <w:r w:rsidR="001255F4" w:rsidRPr="00245517">
        <w:t>maximum</w:t>
      </w:r>
      <w:r w:rsidR="001255F4" w:rsidRPr="00625505">
        <w:t xml:space="preserve"> </w:t>
      </w:r>
      <w:r w:rsidR="00245517" w:rsidRPr="00625505">
        <w:t xml:space="preserve">Warranty Security Holdback </w:t>
      </w:r>
      <w:r w:rsidR="001255F4" w:rsidRPr="00625505">
        <w:t xml:space="preserve">will </w:t>
      </w:r>
      <w:r w:rsidRPr="00625505">
        <w:t>be held commencing on the Substantial Performance Payment Certificate.</w:t>
      </w:r>
    </w:p>
    <w:p w14:paraId="30009E70" w14:textId="77777777" w:rsidR="005C3E54" w:rsidRDefault="0007264B" w:rsidP="00245517">
      <w:pPr>
        <w:pStyle w:val="ListNumber"/>
      </w:pPr>
      <w:r w:rsidRPr="00625505">
        <w:t xml:space="preserve">The </w:t>
      </w:r>
      <w:r w:rsidR="00245517" w:rsidRPr="00625505">
        <w:t>Warranty Security Holdback</w:t>
      </w:r>
      <w:r w:rsidRPr="00625505">
        <w:t xml:space="preserve"> withheld on </w:t>
      </w:r>
      <w:r w:rsidR="002908A1">
        <w:t xml:space="preserve">progress </w:t>
      </w:r>
      <w:r w:rsidR="001255F4" w:rsidRPr="00625505">
        <w:t>payment</w:t>
      </w:r>
      <w:r w:rsidR="002908A1">
        <w:t>s</w:t>
      </w:r>
      <w:r w:rsidR="001255F4" w:rsidRPr="00625505">
        <w:t xml:space="preserve"> prior </w:t>
      </w:r>
      <w:r w:rsidRPr="00625505">
        <w:t>to the Substantial Performance Payment Certificate will be based on the percentage of work completed</w:t>
      </w:r>
      <w:r w:rsidR="00245517">
        <w:t xml:space="preserve"> up to the end of the payment period for the respective progress payment.</w:t>
      </w:r>
    </w:p>
    <w:p w14:paraId="4ED031BC" w14:textId="77777777" w:rsidR="005C3E54" w:rsidRDefault="005C3E54" w:rsidP="005C3E54">
      <w:pPr>
        <w:pStyle w:val="SpecNote"/>
      </w:pPr>
      <w:proofErr w:type="spellStart"/>
      <w:r w:rsidRPr="005C3E54">
        <w:rPr>
          <w:b/>
          <w:bCs/>
        </w:rPr>
        <w:t>RoD</w:t>
      </w:r>
      <w:proofErr w:type="spellEnd"/>
      <w:r w:rsidRPr="005C3E54">
        <w:rPr>
          <w:b/>
          <w:bCs/>
        </w:rPr>
        <w:t xml:space="preserve"> SPEC NOTE:</w:t>
      </w:r>
      <w:r>
        <w:t xml:space="preserve">  The following paragraph excludes the unit price schedule from the calculation of percentage of work completed to date.</w:t>
      </w:r>
    </w:p>
    <w:p w14:paraId="2410D131" w14:textId="77777777" w:rsidR="005C3E54" w:rsidRDefault="005C3E54" w:rsidP="005C3E54">
      <w:pPr>
        <w:pStyle w:val="SpecNote"/>
      </w:pPr>
      <w:proofErr w:type="spellStart"/>
      <w:r w:rsidRPr="005C3E54">
        <w:rPr>
          <w:b/>
          <w:bCs/>
        </w:rPr>
        <w:t>RoD</w:t>
      </w:r>
      <w:proofErr w:type="spellEnd"/>
      <w:r w:rsidRPr="005C3E54">
        <w:rPr>
          <w:b/>
          <w:bCs/>
        </w:rPr>
        <w:t xml:space="preserve"> SPEC NOTE:</w:t>
      </w:r>
      <w:r>
        <w:t xml:space="preserve">  If your contract will have a significant unit price schedule, replace the word “excluding” with “including” so that the price for Section 01 22 00 is included in the calculation.</w:t>
      </w:r>
    </w:p>
    <w:p w14:paraId="5E9465C4" w14:textId="2531CD10" w:rsidR="005C3E54" w:rsidRDefault="001A5E95" w:rsidP="005C3E54">
      <w:pPr>
        <w:pStyle w:val="ListNumber2"/>
      </w:pPr>
      <w:r>
        <w:t>For this purpose, t</w:t>
      </w:r>
      <w:r w:rsidR="00245517">
        <w:t xml:space="preserve">he “percentage of work completed” will be </w:t>
      </w:r>
      <w:r>
        <w:t xml:space="preserve">calculated </w:t>
      </w:r>
      <w:r w:rsidR="00245517">
        <w:t>based on the original</w:t>
      </w:r>
      <w:r>
        <w:t xml:space="preserve"> tender</w:t>
      </w:r>
      <w:r w:rsidR="00306F0E">
        <w:t>ed</w:t>
      </w:r>
      <w:r>
        <w:t xml:space="preserve"> scope of work</w:t>
      </w:r>
      <w:r w:rsidR="00245517">
        <w:t xml:space="preserve"> </w:t>
      </w:r>
      <w:r w:rsidR="00245517" w:rsidRPr="00245517">
        <w:rPr>
          <w:highlight w:val="yellow"/>
        </w:rPr>
        <w:t>excluding</w:t>
      </w:r>
      <w:r w:rsidR="00245517" w:rsidRPr="005C3E54">
        <w:t xml:space="preserve"> any unit price items in Section 01 22 00</w:t>
      </w:r>
      <w:r w:rsidR="002908A1" w:rsidRPr="005C3E54">
        <w:t>.</w:t>
      </w:r>
    </w:p>
    <w:p w14:paraId="5D796AF6" w14:textId="32ED8F04" w:rsidR="00245517" w:rsidRDefault="002908A1" w:rsidP="005C3E54">
      <w:pPr>
        <w:pStyle w:val="ListNumber2"/>
      </w:pPr>
      <w:r>
        <w:t>Change Orders will not be considered in the calculation of this “percentage of work completed”.</w:t>
      </w:r>
    </w:p>
    <w:p w14:paraId="16093F34" w14:textId="77777777" w:rsidR="0007264B" w:rsidRPr="00625505" w:rsidRDefault="0007264B" w:rsidP="0007264B">
      <w:pPr>
        <w:pStyle w:val="ListNumber"/>
      </w:pPr>
      <w:r w:rsidRPr="00625505">
        <w:t xml:space="preserve">The retained amount is strictly to be used as a </w:t>
      </w:r>
      <w:r w:rsidR="001255F4" w:rsidRPr="00625505">
        <w:t xml:space="preserve">warranty security and is in addition to the </w:t>
      </w:r>
      <w:r w:rsidR="001255F4">
        <w:t>regular</w:t>
      </w:r>
      <w:r w:rsidR="001255F4" w:rsidRPr="00625505">
        <w:t xml:space="preserve"> holdback </w:t>
      </w:r>
      <w:r w:rsidR="001255F4">
        <w:t xml:space="preserve">and </w:t>
      </w:r>
      <w:r w:rsidR="001255F4" w:rsidRPr="00625505">
        <w:t>finishing holdback</w:t>
      </w:r>
      <w:r w:rsidR="001255F4">
        <w:t xml:space="preserve"> retained in </w:t>
      </w:r>
      <w:r w:rsidR="001255F4">
        <w:lastRenderedPageBreak/>
        <w:t>accordance with the Construction Act</w:t>
      </w:r>
      <w:r w:rsidR="001255F4" w:rsidRPr="00625505">
        <w:t>, th</w:t>
      </w:r>
      <w:r w:rsidRPr="00625505">
        <w:t xml:space="preserve">e Contractor's </w:t>
      </w:r>
      <w:r w:rsidR="001255F4" w:rsidRPr="00625505">
        <w:t>performance bond and any monies withheld due to known incomplete and</w:t>
      </w:r>
      <w:r w:rsidRPr="00625505">
        <w:t>/or deficient work.</w:t>
      </w:r>
    </w:p>
    <w:p w14:paraId="7BCA6D94" w14:textId="77777777" w:rsidR="0007264B" w:rsidRPr="00625505" w:rsidRDefault="0007264B" w:rsidP="0007264B">
      <w:pPr>
        <w:pStyle w:val="ListNumber"/>
      </w:pPr>
      <w:r w:rsidRPr="00625505">
        <w:t xml:space="preserve">Where Change Orders are issued which </w:t>
      </w:r>
      <w:r w:rsidR="001A5E95">
        <w:t xml:space="preserve">increase </w:t>
      </w:r>
      <w:r w:rsidRPr="00625505">
        <w:t xml:space="preserve">the final </w:t>
      </w:r>
      <w:r w:rsidR="001A5E95">
        <w:t>C</w:t>
      </w:r>
      <w:r w:rsidRPr="00625505">
        <w:t xml:space="preserve">ontract </w:t>
      </w:r>
      <w:r w:rsidR="001A5E95">
        <w:t>Price</w:t>
      </w:r>
      <w:r w:rsidRPr="00625505">
        <w:t xml:space="preserve">, the Owner reserves the right to withhold </w:t>
      </w:r>
      <w:r w:rsidR="001255F4" w:rsidRPr="00625505">
        <w:t xml:space="preserve">additional warranty security at the </w:t>
      </w:r>
      <w:r w:rsidRPr="00625505">
        <w:t xml:space="preserve">same rate (as is determined by dividing the specified </w:t>
      </w:r>
      <w:r w:rsidR="001255F4" w:rsidRPr="00625505">
        <w:t xml:space="preserve">maximum warranty security by </w:t>
      </w:r>
      <w:r w:rsidRPr="00625505">
        <w:t xml:space="preserve">the </w:t>
      </w:r>
      <w:r w:rsidR="001255F4">
        <w:t>award</w:t>
      </w:r>
      <w:r w:rsidRPr="00625505">
        <w:t xml:space="preserve">ed </w:t>
      </w:r>
      <w:r w:rsidR="001255F4">
        <w:t>Contract P</w:t>
      </w:r>
      <w:r w:rsidRPr="00625505">
        <w:t xml:space="preserve">rice) on </w:t>
      </w:r>
      <w:r w:rsidR="001255F4">
        <w:t xml:space="preserve">the value of </w:t>
      </w:r>
      <w:r w:rsidRPr="00625505">
        <w:t xml:space="preserve">such additional work.  </w:t>
      </w:r>
      <w:r w:rsidR="00306F0E">
        <w:t>The Owner will notify the Contractor if the Owner intends to invoke this right on any Change Order and p</w:t>
      </w:r>
      <w:r w:rsidRPr="00625505">
        <w:t xml:space="preserve">ayment for any </w:t>
      </w:r>
      <w:r w:rsidR="00306F0E">
        <w:t xml:space="preserve">carrying costs on </w:t>
      </w:r>
      <w:r w:rsidR="001255F4" w:rsidRPr="00625505">
        <w:t xml:space="preserve">additional warranty security </w:t>
      </w:r>
      <w:r w:rsidRPr="00625505">
        <w:t>shall be deemed to be included in the respective Change Order.</w:t>
      </w:r>
    </w:p>
    <w:p w14:paraId="1FDAAFBE" w14:textId="77777777" w:rsidR="0007264B" w:rsidRPr="00625505" w:rsidRDefault="0007264B" w:rsidP="00D37E2F">
      <w:pPr>
        <w:pStyle w:val="ListNumber"/>
        <w:keepLines/>
      </w:pPr>
      <w:r w:rsidRPr="00625505">
        <w:t xml:space="preserve">Except as otherwise provided hereunder, </w:t>
      </w:r>
      <w:r w:rsidR="001255F4" w:rsidRPr="00625505">
        <w:t xml:space="preserve">the warranty security, less </w:t>
      </w:r>
      <w:r w:rsidRPr="00625505">
        <w:t xml:space="preserve">any deductions made therefrom as provided for in the Contract, shall be released to the Contractor following the issuance by the </w:t>
      </w:r>
      <w:r w:rsidRPr="00625505">
        <w:rPr>
          <w:iCs/>
        </w:rPr>
        <w:t xml:space="preserve">Owner </w:t>
      </w:r>
      <w:r w:rsidRPr="00625505">
        <w:t>of the Final Acceptance Certificate at the end of the warranty period.</w:t>
      </w:r>
    </w:p>
    <w:p w14:paraId="2394D1EF" w14:textId="77777777" w:rsidR="0007264B" w:rsidRPr="00625505" w:rsidRDefault="0007264B" w:rsidP="0007264B">
      <w:pPr>
        <w:pStyle w:val="ListNumber"/>
        <w:rPr>
          <w:b/>
        </w:rPr>
      </w:pPr>
      <w:r w:rsidRPr="00625505">
        <w:rPr>
          <w:b/>
        </w:rPr>
        <w:t>No substitute form of security will be permitted.</w:t>
      </w:r>
    </w:p>
    <w:p w14:paraId="1F46835C" w14:textId="77777777" w:rsidR="0007264B" w:rsidRPr="0050391D" w:rsidRDefault="0007264B" w:rsidP="00480F97">
      <w:pPr>
        <w:pStyle w:val="Heading2"/>
      </w:pPr>
      <w:r w:rsidRPr="0050391D">
        <w:t xml:space="preserve">Basis </w:t>
      </w:r>
      <w:r>
        <w:t>o</w:t>
      </w:r>
      <w:r w:rsidRPr="0050391D">
        <w:t xml:space="preserve">f </w:t>
      </w:r>
      <w:r w:rsidR="009738B9">
        <w:t>p</w:t>
      </w:r>
      <w:r w:rsidRPr="0050391D">
        <w:t>ayment</w:t>
      </w:r>
    </w:p>
    <w:p w14:paraId="6F2A2979" w14:textId="77777777" w:rsidR="0007264B" w:rsidRPr="00625505" w:rsidRDefault="0007264B" w:rsidP="0007264B">
      <w:pPr>
        <w:pStyle w:val="ListNumber"/>
      </w:pPr>
      <w:r w:rsidRPr="0052399D">
        <w:t xml:space="preserve">Payment for </w:t>
      </w:r>
      <w:r w:rsidR="001255F4">
        <w:t>b</w:t>
      </w:r>
      <w:r w:rsidRPr="0052399D">
        <w:t xml:space="preserve">onds and </w:t>
      </w:r>
      <w:r w:rsidR="001255F4">
        <w:t>i</w:t>
      </w:r>
      <w:r w:rsidRPr="0052399D">
        <w:t xml:space="preserve">nsurance shall be included in the monthly </w:t>
      </w:r>
      <w:r w:rsidR="001255F4" w:rsidRPr="0052399D">
        <w:t xml:space="preserve">payment certificate </w:t>
      </w:r>
      <w:r w:rsidR="001255F4" w:rsidRPr="00625505">
        <w:t xml:space="preserve">after submission </w:t>
      </w:r>
      <w:r w:rsidRPr="00625505">
        <w:t>of satisfactory documents.</w:t>
      </w:r>
    </w:p>
    <w:p w14:paraId="3F860AFB" w14:textId="77777777" w:rsidR="0007264B" w:rsidRPr="00625505" w:rsidRDefault="0007264B" w:rsidP="0007264B">
      <w:pPr>
        <w:pStyle w:val="ListNumber"/>
      </w:pPr>
      <w:r w:rsidRPr="00625505">
        <w:t xml:space="preserve">Payment for all carrying costs associated with </w:t>
      </w:r>
      <w:r w:rsidR="001255F4" w:rsidRPr="00625505">
        <w:t>the warranty security holdback, including interest thereon, shall be m</w:t>
      </w:r>
      <w:r w:rsidRPr="00625505">
        <w:t xml:space="preserve">ade under </w:t>
      </w:r>
      <w:r w:rsidR="001255F4">
        <w:t>t</w:t>
      </w:r>
      <w:r w:rsidR="00FA7B92">
        <w:t>h</w:t>
      </w:r>
      <w:r w:rsidR="001255F4">
        <w:t xml:space="preserve">is Section on </w:t>
      </w:r>
      <w:r w:rsidRPr="00625505">
        <w:t>th</w:t>
      </w:r>
      <w:r w:rsidR="001255F4">
        <w:t>e</w:t>
      </w:r>
      <w:r w:rsidRPr="00625505">
        <w:t xml:space="preserve"> </w:t>
      </w:r>
      <w:r w:rsidR="001255F4">
        <w:t xml:space="preserve">appropriate line </w:t>
      </w:r>
      <w:r w:rsidRPr="00625505">
        <w:t>item</w:t>
      </w:r>
      <w:r w:rsidR="001255F4">
        <w:t xml:space="preserve"> in the payment certificate</w:t>
      </w:r>
      <w:r w:rsidRPr="00625505">
        <w:t xml:space="preserve">.  No other compensation </w:t>
      </w:r>
      <w:r w:rsidR="001255F4" w:rsidRPr="00625505">
        <w:t>for warranty security holdbacks will be considered</w:t>
      </w:r>
      <w:r w:rsidRPr="00625505">
        <w:t>.  Progress payments will be made as follows:</w:t>
      </w:r>
    </w:p>
    <w:p w14:paraId="14601B20" w14:textId="10AF264A" w:rsidR="0007264B" w:rsidRPr="00625505" w:rsidRDefault="0007264B" w:rsidP="00B73BCB">
      <w:pPr>
        <w:pStyle w:val="ListParagraph"/>
        <w:numPr>
          <w:ilvl w:val="0"/>
          <w:numId w:val="5"/>
        </w:numPr>
        <w:spacing w:before="60" w:after="60"/>
        <w:ind w:left="2160" w:hanging="720"/>
      </w:pPr>
      <w:r w:rsidRPr="00625505">
        <w:t xml:space="preserve">25% on the </w:t>
      </w:r>
      <w:r w:rsidR="001255F4" w:rsidRPr="00625505">
        <w:t>first progress payment certificate</w:t>
      </w:r>
      <w:r w:rsidR="005C3E54">
        <w:t>;</w:t>
      </w:r>
    </w:p>
    <w:p w14:paraId="45FD493B" w14:textId="2A5C8CE5" w:rsidR="0007264B" w:rsidRPr="00625505" w:rsidRDefault="0007264B" w:rsidP="00B73BCB">
      <w:pPr>
        <w:pStyle w:val="ListParagraph"/>
        <w:numPr>
          <w:ilvl w:val="0"/>
          <w:numId w:val="5"/>
        </w:numPr>
        <w:spacing w:before="60" w:after="60"/>
        <w:ind w:left="2160" w:hanging="720"/>
      </w:pPr>
      <w:r w:rsidRPr="00625505">
        <w:t>25% on the Substantial Performance Payment Certificate</w:t>
      </w:r>
      <w:r w:rsidR="005C3E54">
        <w:t>;</w:t>
      </w:r>
    </w:p>
    <w:p w14:paraId="20EF3587" w14:textId="77777777" w:rsidR="0007264B" w:rsidRPr="00625505" w:rsidRDefault="0007264B" w:rsidP="00B73BCB">
      <w:pPr>
        <w:pStyle w:val="ListParagraph"/>
        <w:numPr>
          <w:ilvl w:val="0"/>
          <w:numId w:val="5"/>
        </w:numPr>
        <w:spacing w:before="60" w:after="60"/>
        <w:ind w:left="2160" w:hanging="720"/>
      </w:pPr>
      <w:r w:rsidRPr="00625505">
        <w:t xml:space="preserve">50% on the Final Payment Certificate, together with the release of </w:t>
      </w:r>
      <w:r w:rsidR="00915A80" w:rsidRPr="00625505">
        <w:t>the warranty security holdback at the end of the warranty period</w:t>
      </w:r>
      <w:r w:rsidRPr="00625505">
        <w:t>, as may be extended in accordance with the Contract.</w:t>
      </w:r>
    </w:p>
    <w:p w14:paraId="13E52E66" w14:textId="77777777" w:rsidR="0007264B" w:rsidRDefault="0007264B" w:rsidP="00CD3133">
      <w:pPr>
        <w:pStyle w:val="ListNumber"/>
      </w:pPr>
      <w:r w:rsidRPr="00625505">
        <w:t>The sum of prices bid fo</w:t>
      </w:r>
      <w:r w:rsidR="00915A80" w:rsidRPr="00625505">
        <w:t>r bonds, insurance and warranty security holdback carr</w:t>
      </w:r>
      <w:r w:rsidRPr="00625505">
        <w:t xml:space="preserve">ying costs shall not exceed 2% of </w:t>
      </w:r>
      <w:r w:rsidR="00915A80" w:rsidRPr="00625505">
        <w:t>the lump sum tendered price</w:t>
      </w:r>
      <w:r w:rsidRPr="00625505">
        <w:t>.</w:t>
      </w:r>
    </w:p>
    <w:p w14:paraId="5A31B4ED" w14:textId="77777777" w:rsidR="002B66B0" w:rsidRPr="003D5976" w:rsidRDefault="002B66B0" w:rsidP="00B73BCB">
      <w:pPr>
        <w:pStyle w:val="Heading1"/>
        <w:rPr>
          <w:rFonts w:ascii="Arial" w:hAnsi="Arial"/>
          <w:lang w:val="en-US" w:eastAsia="en-US" w:bidi="en-US"/>
        </w:rPr>
      </w:pPr>
      <w:r w:rsidRPr="003D5976">
        <w:rPr>
          <w:rFonts w:ascii="Arial" w:hAnsi="Arial"/>
          <w:lang w:val="en-US" w:eastAsia="en-US" w:bidi="en-US"/>
        </w:rPr>
        <w:lastRenderedPageBreak/>
        <w:t xml:space="preserve">Products – </w:t>
      </w:r>
      <w:r>
        <w:rPr>
          <w:rFonts w:ascii="Arial" w:hAnsi="Arial"/>
          <w:lang w:val="en-US" w:eastAsia="en-US" w:bidi="en-US"/>
        </w:rPr>
        <w:t>n</w:t>
      </w:r>
      <w:r w:rsidRPr="003D5976">
        <w:rPr>
          <w:rFonts w:ascii="Arial" w:hAnsi="Arial"/>
          <w:lang w:val="en-US" w:eastAsia="en-US" w:bidi="en-US"/>
        </w:rPr>
        <w:t xml:space="preserve">ot </w:t>
      </w:r>
      <w:r>
        <w:rPr>
          <w:rFonts w:ascii="Arial" w:hAnsi="Arial"/>
          <w:lang w:val="en-US" w:eastAsia="en-US" w:bidi="en-US"/>
        </w:rPr>
        <w:t>u</w:t>
      </w:r>
      <w:r w:rsidRPr="003D5976">
        <w:rPr>
          <w:rFonts w:ascii="Arial" w:hAnsi="Arial"/>
          <w:lang w:val="en-US" w:eastAsia="en-US" w:bidi="en-US"/>
        </w:rPr>
        <w:t>sed</w:t>
      </w:r>
    </w:p>
    <w:p w14:paraId="3FF6D8F1" w14:textId="77777777" w:rsidR="002B66B0" w:rsidRPr="003D5976" w:rsidRDefault="002B66B0" w:rsidP="00B73BCB">
      <w:pPr>
        <w:pStyle w:val="Heading1"/>
        <w:rPr>
          <w:rFonts w:ascii="Arial" w:hAnsi="Arial"/>
          <w:lang w:val="en-US" w:eastAsia="en-US" w:bidi="en-US"/>
        </w:rPr>
      </w:pPr>
      <w:r w:rsidRPr="003D5976">
        <w:rPr>
          <w:rFonts w:ascii="Arial" w:hAnsi="Arial"/>
          <w:lang w:val="en-US" w:eastAsia="en-US" w:bidi="en-US"/>
        </w:rPr>
        <w:t>Execution –</w:t>
      </w:r>
      <w:r>
        <w:rPr>
          <w:rFonts w:ascii="Arial" w:hAnsi="Arial"/>
          <w:lang w:val="en-US" w:eastAsia="en-US" w:bidi="en-US"/>
        </w:rPr>
        <w:t xml:space="preserve"> n</w:t>
      </w:r>
      <w:r w:rsidRPr="003D5976">
        <w:rPr>
          <w:rFonts w:ascii="Arial" w:hAnsi="Arial"/>
          <w:lang w:val="en-US" w:eastAsia="en-US" w:bidi="en-US"/>
        </w:rPr>
        <w:t xml:space="preserve">ot </w:t>
      </w:r>
      <w:r>
        <w:rPr>
          <w:rFonts w:ascii="Arial" w:hAnsi="Arial"/>
          <w:lang w:val="en-US" w:eastAsia="en-US" w:bidi="en-US"/>
        </w:rPr>
        <w:t>u</w:t>
      </w:r>
      <w:r w:rsidRPr="003D5976">
        <w:rPr>
          <w:rFonts w:ascii="Arial" w:hAnsi="Arial"/>
          <w:lang w:val="en-US" w:eastAsia="en-US" w:bidi="en-US"/>
        </w:rPr>
        <w:t>sed</w:t>
      </w:r>
    </w:p>
    <w:p w14:paraId="7BED5E27" w14:textId="77777777" w:rsidR="002E75DC" w:rsidRPr="00207F05" w:rsidRDefault="0007264B" w:rsidP="0007264B">
      <w:pPr>
        <w:pStyle w:val="EndOfSection"/>
      </w:pPr>
      <w:r>
        <w:t xml:space="preserve">End of </w:t>
      </w:r>
      <w:r w:rsidR="009738B9">
        <w:t>s</w:t>
      </w:r>
      <w:r>
        <w:t>ection</w:t>
      </w:r>
    </w:p>
    <w:sectPr w:rsidR="002E75DC" w:rsidRPr="00207F05" w:rsidSect="006117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27D9" w14:textId="77777777" w:rsidR="00783A61" w:rsidRDefault="00783A61" w:rsidP="006117D3">
      <w:r>
        <w:separator/>
      </w:r>
    </w:p>
  </w:endnote>
  <w:endnote w:type="continuationSeparator" w:id="0">
    <w:p w14:paraId="164D70B4" w14:textId="77777777" w:rsidR="00783A61" w:rsidRDefault="00783A61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FEBE" w14:textId="77777777" w:rsidR="00783A61" w:rsidRDefault="00783A61" w:rsidP="006117D3">
      <w:r>
        <w:separator/>
      </w:r>
    </w:p>
  </w:footnote>
  <w:footnote w:type="continuationSeparator" w:id="0">
    <w:p w14:paraId="49B279EB" w14:textId="77777777" w:rsidR="00783A61" w:rsidRDefault="00783A61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E8FA" w14:textId="77777777" w:rsidR="00783A61" w:rsidRPr="003C7BF5" w:rsidRDefault="00783A61" w:rsidP="004E05F7">
    <w:pPr>
      <w:pStyle w:val="Header"/>
      <w:pBdr>
        <w:bottom w:val="none" w:sz="0" w:space="0" w:color="auto"/>
      </w:pBdr>
    </w:pPr>
    <w:r>
      <w:rPr>
        <w:u w:color="000000"/>
      </w:rPr>
      <w:t>[</w:t>
    </w:r>
    <w:r w:rsidRPr="003C7BF5">
      <w:t xml:space="preserve">Project </w:t>
    </w:r>
    <w:r w:rsidR="00E5308F">
      <w:t>d</w:t>
    </w:r>
    <w:r w:rsidRPr="003C7BF5">
      <w:t>escription]</w:t>
    </w:r>
    <w:r w:rsidRPr="003C7BF5">
      <w:tab/>
      <w:t>Section 00</w:t>
    </w:r>
    <w:r w:rsidR="0007264B" w:rsidRPr="003C7BF5">
      <w:t xml:space="preserve"> 61 14</w:t>
    </w:r>
  </w:p>
  <w:p w14:paraId="6F296FBF" w14:textId="77777777" w:rsidR="00783A61" w:rsidRPr="003C7BF5" w:rsidRDefault="00783A61" w:rsidP="004E05F7">
    <w:pPr>
      <w:pStyle w:val="Header"/>
      <w:pBdr>
        <w:bottom w:val="none" w:sz="0" w:space="0" w:color="auto"/>
      </w:pBdr>
    </w:pPr>
    <w:r w:rsidRPr="003C7BF5">
      <w:t>T-XXXX-20</w:t>
    </w:r>
    <w:r w:rsidR="003D1A5F">
      <w:t>XX</w:t>
    </w:r>
    <w:r w:rsidRPr="003C7BF5">
      <w:tab/>
    </w:r>
    <w:r w:rsidR="0007264B" w:rsidRPr="003C7BF5">
      <w:t>Bonds</w:t>
    </w:r>
    <w:r w:rsidR="009738B9" w:rsidRPr="003C7BF5">
      <w:t>, insurance and warranty security</w:t>
    </w:r>
  </w:p>
  <w:p w14:paraId="23B0E3AE" w14:textId="77777777" w:rsidR="00783A61" w:rsidRPr="003C7BF5" w:rsidRDefault="00783A61" w:rsidP="004E05F7">
    <w:pPr>
      <w:pStyle w:val="Header"/>
      <w:pBdr>
        <w:bottom w:val="single" w:sz="4" w:space="1" w:color="auto"/>
      </w:pBdr>
    </w:pPr>
    <w:r w:rsidRPr="003C7BF5">
      <w:tab/>
      <w:t xml:space="preserve">Page </w:t>
    </w:r>
    <w:r w:rsidRPr="003C7BF5">
      <w:fldChar w:fldCharType="begin"/>
    </w:r>
    <w:r w:rsidRPr="003C7BF5">
      <w:instrText xml:space="preserve"> PAGE  \* MERGEFORMAT </w:instrText>
    </w:r>
    <w:r w:rsidRPr="003C7BF5">
      <w:fldChar w:fldCharType="separate"/>
    </w:r>
    <w:r w:rsidR="00352A8B">
      <w:rPr>
        <w:noProof/>
      </w:rPr>
      <w:t>1</w:t>
    </w:r>
    <w:r w:rsidRPr="003C7BF5">
      <w:fldChar w:fldCharType="end"/>
    </w:r>
    <w:r w:rsidRPr="003C7BF5">
      <w:t xml:space="preserve"> of </w:t>
    </w:r>
    <w:r w:rsidR="003D1A5F">
      <w:rPr>
        <w:noProof/>
      </w:rPr>
      <w:fldChar w:fldCharType="begin"/>
    </w:r>
    <w:r w:rsidR="003D1A5F">
      <w:rPr>
        <w:noProof/>
      </w:rPr>
      <w:instrText xml:space="preserve"> NUMPAGES </w:instrText>
    </w:r>
    <w:r w:rsidR="003D1A5F">
      <w:rPr>
        <w:noProof/>
      </w:rPr>
      <w:fldChar w:fldCharType="separate"/>
    </w:r>
    <w:r w:rsidR="00352A8B">
      <w:rPr>
        <w:noProof/>
      </w:rPr>
      <w:t>3</w:t>
    </w:r>
    <w:r w:rsidR="003D1A5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980E1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42660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Times New Roman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Times New Roman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Times New Roman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Times New Roman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Times New Roman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Times New Roman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3" w15:restartNumberingAfterBreak="0">
    <w:nsid w:val="30823425"/>
    <w:multiLevelType w:val="multilevel"/>
    <w:tmpl w:val="6B94A088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4" w15:restartNumberingAfterBreak="0">
    <w:nsid w:val="37230464"/>
    <w:multiLevelType w:val="hybridMultilevel"/>
    <w:tmpl w:val="60BA54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3B9D"/>
    <w:multiLevelType w:val="hybridMultilevel"/>
    <w:tmpl w:val="8EFA7F16"/>
    <w:lvl w:ilvl="0" w:tplc="4D0642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pStyle w:val="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37E4"/>
    <w:multiLevelType w:val="hybridMultilevel"/>
    <w:tmpl w:val="98EE6B98"/>
    <w:lvl w:ilvl="0" w:tplc="E1760FE8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642075959">
    <w:abstractNumId w:val="3"/>
  </w:num>
  <w:num w:numId="2" w16cid:durableId="958299098">
    <w:abstractNumId w:val="5"/>
  </w:num>
  <w:num w:numId="3" w16cid:durableId="876772066">
    <w:abstractNumId w:val="1"/>
  </w:num>
  <w:num w:numId="4" w16cid:durableId="1070031969">
    <w:abstractNumId w:val="0"/>
  </w:num>
  <w:num w:numId="5" w16cid:durableId="1121848606">
    <w:abstractNumId w:val="4"/>
  </w:num>
  <w:num w:numId="6" w16cid:durableId="1267421504">
    <w:abstractNumId w:val="6"/>
  </w:num>
  <w:num w:numId="7" w16cid:durableId="248346465">
    <w:abstractNumId w:val="3"/>
  </w:num>
  <w:num w:numId="8" w16cid:durableId="16784569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00DE1"/>
    <w:rsid w:val="000633DD"/>
    <w:rsid w:val="0007264B"/>
    <w:rsid w:val="00092DCE"/>
    <w:rsid w:val="000B05BB"/>
    <w:rsid w:val="00107142"/>
    <w:rsid w:val="00122690"/>
    <w:rsid w:val="00124FF1"/>
    <w:rsid w:val="001255F4"/>
    <w:rsid w:val="00126989"/>
    <w:rsid w:val="001400A3"/>
    <w:rsid w:val="0017053E"/>
    <w:rsid w:val="001A5E95"/>
    <w:rsid w:val="001B01D0"/>
    <w:rsid w:val="001D3754"/>
    <w:rsid w:val="001D3B43"/>
    <w:rsid w:val="001F1072"/>
    <w:rsid w:val="00207F05"/>
    <w:rsid w:val="002323F8"/>
    <w:rsid w:val="00245517"/>
    <w:rsid w:val="00246624"/>
    <w:rsid w:val="00246A02"/>
    <w:rsid w:val="0026395C"/>
    <w:rsid w:val="00267246"/>
    <w:rsid w:val="002908A1"/>
    <w:rsid w:val="002A1E2B"/>
    <w:rsid w:val="002B28E7"/>
    <w:rsid w:val="002B66B0"/>
    <w:rsid w:val="002E75DC"/>
    <w:rsid w:val="00306F0E"/>
    <w:rsid w:val="00352A8B"/>
    <w:rsid w:val="00392FE3"/>
    <w:rsid w:val="003A4206"/>
    <w:rsid w:val="003B770C"/>
    <w:rsid w:val="003C7BF5"/>
    <w:rsid w:val="003D1A5F"/>
    <w:rsid w:val="00436575"/>
    <w:rsid w:val="004411CB"/>
    <w:rsid w:val="00446878"/>
    <w:rsid w:val="00480F97"/>
    <w:rsid w:val="004D2BA8"/>
    <w:rsid w:val="004E05F7"/>
    <w:rsid w:val="004F7047"/>
    <w:rsid w:val="00537DE7"/>
    <w:rsid w:val="00565EAF"/>
    <w:rsid w:val="005A6A87"/>
    <w:rsid w:val="005C3E54"/>
    <w:rsid w:val="005D448B"/>
    <w:rsid w:val="00600B07"/>
    <w:rsid w:val="006117D3"/>
    <w:rsid w:val="00613BC5"/>
    <w:rsid w:val="00681C5E"/>
    <w:rsid w:val="006D1046"/>
    <w:rsid w:val="006D5E17"/>
    <w:rsid w:val="006E63F3"/>
    <w:rsid w:val="006F37CB"/>
    <w:rsid w:val="006F3BC9"/>
    <w:rsid w:val="00721DC1"/>
    <w:rsid w:val="0075318E"/>
    <w:rsid w:val="00766C47"/>
    <w:rsid w:val="00783A61"/>
    <w:rsid w:val="00784D37"/>
    <w:rsid w:val="007D3127"/>
    <w:rsid w:val="007D4168"/>
    <w:rsid w:val="007D7371"/>
    <w:rsid w:val="007E251B"/>
    <w:rsid w:val="00811003"/>
    <w:rsid w:val="008B3322"/>
    <w:rsid w:val="008E1D7D"/>
    <w:rsid w:val="008F2056"/>
    <w:rsid w:val="008F7473"/>
    <w:rsid w:val="009067CF"/>
    <w:rsid w:val="00915A80"/>
    <w:rsid w:val="00920F65"/>
    <w:rsid w:val="00937094"/>
    <w:rsid w:val="0096624C"/>
    <w:rsid w:val="009738B9"/>
    <w:rsid w:val="009E22AB"/>
    <w:rsid w:val="009E2646"/>
    <w:rsid w:val="00A01785"/>
    <w:rsid w:val="00A11BC1"/>
    <w:rsid w:val="00A17C5F"/>
    <w:rsid w:val="00A565B6"/>
    <w:rsid w:val="00A64B7A"/>
    <w:rsid w:val="00A748F9"/>
    <w:rsid w:val="00B06A55"/>
    <w:rsid w:val="00B11BBD"/>
    <w:rsid w:val="00B21A66"/>
    <w:rsid w:val="00B2433E"/>
    <w:rsid w:val="00B4021D"/>
    <w:rsid w:val="00B65970"/>
    <w:rsid w:val="00B73BCB"/>
    <w:rsid w:val="00B93810"/>
    <w:rsid w:val="00BB7617"/>
    <w:rsid w:val="00C113FD"/>
    <w:rsid w:val="00CA343C"/>
    <w:rsid w:val="00CB016B"/>
    <w:rsid w:val="00CD3133"/>
    <w:rsid w:val="00D01E04"/>
    <w:rsid w:val="00D03852"/>
    <w:rsid w:val="00D37E2F"/>
    <w:rsid w:val="00D720A8"/>
    <w:rsid w:val="00E14A29"/>
    <w:rsid w:val="00E5308F"/>
    <w:rsid w:val="00EF25BC"/>
    <w:rsid w:val="00F26D9D"/>
    <w:rsid w:val="00F40748"/>
    <w:rsid w:val="00F54F74"/>
    <w:rsid w:val="00F71996"/>
    <w:rsid w:val="00F939AD"/>
    <w:rsid w:val="00FA7B92"/>
    <w:rsid w:val="00FB29B5"/>
    <w:rsid w:val="00FD4329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."/>
  <w:listSeparator w:val=","/>
  <w14:docId w14:val="14BD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BCB"/>
    <w:pPr>
      <w:spacing w:line="288" w:lineRule="auto"/>
    </w:pPr>
  </w:style>
  <w:style w:type="paragraph" w:styleId="Heading1">
    <w:name w:val="heading 1"/>
    <w:basedOn w:val="Normal"/>
    <w:next w:val="Heading2"/>
    <w:link w:val="Heading1Char"/>
    <w:qFormat/>
    <w:rsid w:val="00B73BCB"/>
    <w:pPr>
      <w:keepNext/>
      <w:numPr>
        <w:numId w:val="1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B73BCB"/>
    <w:pPr>
      <w:keepNext/>
      <w:numPr>
        <w:ilvl w:val="1"/>
        <w:numId w:val="1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B73BCB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B73BCB"/>
    <w:pPr>
      <w:spacing w:before="60"/>
      <w:outlineLvl w:val="3"/>
    </w:pPr>
  </w:style>
  <w:style w:type="paragraph" w:styleId="Heading5">
    <w:name w:val="heading 5"/>
    <w:basedOn w:val="Normal"/>
    <w:unhideWhenUsed/>
    <w:rsid w:val="00B73BCB"/>
    <w:pPr>
      <w:spacing w:before="60"/>
      <w:outlineLvl w:val="4"/>
    </w:pPr>
  </w:style>
  <w:style w:type="paragraph" w:styleId="Heading6">
    <w:name w:val="heading 6"/>
    <w:basedOn w:val="Normal"/>
    <w:unhideWhenUsed/>
    <w:rsid w:val="00B73BCB"/>
    <w:pPr>
      <w:spacing w:before="60"/>
      <w:outlineLvl w:val="5"/>
    </w:pPr>
  </w:style>
  <w:style w:type="paragraph" w:styleId="Heading7">
    <w:name w:val="heading 7"/>
    <w:basedOn w:val="Normal"/>
    <w:unhideWhenUsed/>
    <w:rsid w:val="00B73BCB"/>
    <w:pPr>
      <w:spacing w:before="60"/>
      <w:outlineLvl w:val="6"/>
    </w:pPr>
  </w:style>
  <w:style w:type="paragraph" w:styleId="Heading8">
    <w:name w:val="heading 8"/>
    <w:basedOn w:val="Normal"/>
    <w:unhideWhenUsed/>
    <w:rsid w:val="00B73BCB"/>
    <w:pPr>
      <w:spacing w:before="60"/>
      <w:outlineLvl w:val="7"/>
    </w:pPr>
  </w:style>
  <w:style w:type="paragraph" w:styleId="Heading9">
    <w:name w:val="heading 9"/>
    <w:basedOn w:val="Normal"/>
    <w:unhideWhenUsed/>
    <w:rsid w:val="00B73BCB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73BCB"/>
  </w:style>
  <w:style w:type="paragraph" w:customStyle="1" w:styleId="SpecNote">
    <w:name w:val="SpecNote"/>
    <w:basedOn w:val="Normal"/>
    <w:qFormat/>
    <w:rsid w:val="00B73BCB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  <w:rsid w:val="00B73BCB"/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unhideWhenUsed/>
    <w:rsid w:val="002B28E7"/>
    <w:pPr>
      <w:keepNext/>
      <w:jc w:val="center"/>
    </w:pPr>
    <w:rPr>
      <w:color w:val="FF000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3BCB"/>
  </w:style>
  <w:style w:type="paragraph" w:customStyle="1" w:styleId="AuthorNote">
    <w:name w:val="AuthorNote"/>
    <w:basedOn w:val="SpecNote"/>
    <w:unhideWhenUsed/>
    <w:rsid w:val="00B73BCB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B73BCB"/>
    <w:pPr>
      <w:spacing w:before="600"/>
    </w:pPr>
    <w:rPr>
      <w:b/>
    </w:rPr>
  </w:style>
  <w:style w:type="paragraph" w:customStyle="1" w:styleId="CSITitle">
    <w:name w:val="CSITitle"/>
    <w:basedOn w:val="Normal"/>
    <w:unhideWhenUsed/>
    <w:rsid w:val="002B28E7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B73BCB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B73BCB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B73BCB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B73BCB"/>
    <w:rPr>
      <w:b/>
    </w:rPr>
  </w:style>
  <w:style w:type="character" w:styleId="Hyperlink">
    <w:name w:val="Hyperlink"/>
    <w:rsid w:val="00B73BCB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B73BCB"/>
  </w:style>
  <w:style w:type="character" w:customStyle="1" w:styleId="Heading4Char">
    <w:name w:val="Heading 4 Char"/>
    <w:link w:val="Heading4"/>
    <w:locked/>
    <w:rsid w:val="00B73BCB"/>
  </w:style>
  <w:style w:type="numbering" w:styleId="ArticleSection">
    <w:name w:val="Outline List 3"/>
    <w:basedOn w:val="NoList"/>
    <w:rsid w:val="00B73BCB"/>
  </w:style>
  <w:style w:type="character" w:customStyle="1" w:styleId="SI">
    <w:name w:val="SI"/>
    <w:unhideWhenUsed/>
    <w:rsid w:val="002B28E7"/>
    <w:rPr>
      <w:color w:val="auto"/>
    </w:rPr>
  </w:style>
  <w:style w:type="character" w:customStyle="1" w:styleId="IP">
    <w:name w:val="IP"/>
    <w:unhideWhenUsed/>
    <w:rsid w:val="002B28E7"/>
    <w:rPr>
      <w:color w:val="auto"/>
    </w:rPr>
  </w:style>
  <w:style w:type="paragraph" w:customStyle="1" w:styleId="SectionNote">
    <w:name w:val="SectionNote"/>
    <w:basedOn w:val="SpecNote"/>
    <w:unhideWhenUsed/>
    <w:rsid w:val="00B73BCB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B73BCB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Level2">
    <w:name w:val="Level 2"/>
    <w:basedOn w:val="Normal"/>
    <w:uiPriority w:val="99"/>
    <w:rsid w:val="00267246"/>
    <w:pPr>
      <w:widowControl w:val="0"/>
      <w:numPr>
        <w:ilvl w:val="1"/>
        <w:numId w:val="2"/>
      </w:numPr>
      <w:autoSpaceDE w:val="0"/>
      <w:autoSpaceDN w:val="0"/>
      <w:adjustRightInd w:val="0"/>
      <w:ind w:hanging="1440"/>
      <w:outlineLvl w:val="1"/>
    </w:pPr>
    <w:rPr>
      <w:rFonts w:ascii="Sakkal Majalla" w:hAnsi="Sakkal Majalla" w:cs="Sakkal Majalla"/>
      <w:lang w:val="en-US"/>
    </w:rPr>
  </w:style>
  <w:style w:type="paragraph" w:customStyle="1" w:styleId="Default">
    <w:name w:val="Default"/>
    <w:uiPriority w:val="99"/>
    <w:rsid w:val="00267246"/>
    <w:pPr>
      <w:autoSpaceDE w:val="0"/>
      <w:autoSpaceDN w:val="0"/>
      <w:adjustRightInd w:val="0"/>
    </w:pPr>
    <w:rPr>
      <w:color w:val="00000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6724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0" w:lineRule="exact"/>
      <w:ind w:left="144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7246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7246"/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67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7246"/>
    <w:rPr>
      <w:rFonts w:ascii="Tahoma" w:hAnsi="Tahoma" w:cs="Tahoma"/>
      <w:sz w:val="16"/>
      <w:szCs w:val="16"/>
      <w:lang w:eastAsia="en-US"/>
    </w:rPr>
  </w:style>
  <w:style w:type="paragraph" w:styleId="ListNumber">
    <w:name w:val="List Number"/>
    <w:aliases w:val="List Num1"/>
    <w:basedOn w:val="Normal"/>
    <w:qFormat/>
    <w:rsid w:val="00B73BCB"/>
    <w:pPr>
      <w:numPr>
        <w:ilvl w:val="2"/>
        <w:numId w:val="1"/>
      </w:numPr>
      <w:spacing w:before="120" w:after="120"/>
    </w:pPr>
  </w:style>
  <w:style w:type="paragraph" w:styleId="ListNumber2">
    <w:name w:val="List Number 2"/>
    <w:aliases w:val="List Num2"/>
    <w:basedOn w:val="Normal"/>
    <w:qFormat/>
    <w:rsid w:val="00B73BCB"/>
    <w:pPr>
      <w:numPr>
        <w:ilvl w:val="3"/>
        <w:numId w:val="1"/>
      </w:numPr>
      <w:spacing w:before="60"/>
    </w:pPr>
  </w:style>
  <w:style w:type="paragraph" w:styleId="ListNumber3">
    <w:name w:val="List Number 3"/>
    <w:aliases w:val="List Num3"/>
    <w:basedOn w:val="ListNumber2"/>
    <w:qFormat/>
    <w:rsid w:val="00E5308F"/>
    <w:pPr>
      <w:numPr>
        <w:ilvl w:val="4"/>
      </w:numPr>
    </w:pPr>
  </w:style>
  <w:style w:type="paragraph" w:styleId="ListNumber4">
    <w:name w:val="List Number 4"/>
    <w:aliases w:val="List Num4"/>
    <w:basedOn w:val="Normal"/>
    <w:qFormat/>
    <w:rsid w:val="00B73BCB"/>
    <w:pPr>
      <w:numPr>
        <w:ilvl w:val="5"/>
        <w:numId w:val="1"/>
      </w:numPr>
      <w:spacing w:before="60"/>
    </w:pPr>
  </w:style>
  <w:style w:type="paragraph" w:styleId="ListNumber5">
    <w:name w:val="List Number 5"/>
    <w:aliases w:val="List Num5"/>
    <w:basedOn w:val="Normal"/>
    <w:qFormat/>
    <w:rsid w:val="00B73BCB"/>
    <w:pPr>
      <w:numPr>
        <w:ilvl w:val="6"/>
        <w:numId w:val="1"/>
      </w:numPr>
      <w:spacing w:before="60"/>
    </w:pPr>
  </w:style>
  <w:style w:type="paragraph" w:styleId="ListBullet2">
    <w:name w:val="List Bullet 2"/>
    <w:basedOn w:val="Normal"/>
    <w:unhideWhenUsed/>
    <w:rsid w:val="0007264B"/>
    <w:pPr>
      <w:numPr>
        <w:numId w:val="4"/>
      </w:numPr>
      <w:contextualSpacing/>
    </w:pPr>
  </w:style>
  <w:style w:type="paragraph" w:styleId="ListBullet">
    <w:name w:val="List Bullet"/>
    <w:basedOn w:val="Normal"/>
    <w:unhideWhenUsed/>
    <w:rsid w:val="0007264B"/>
    <w:pPr>
      <w:numPr>
        <w:numId w:val="3"/>
      </w:numPr>
      <w:ind w:left="2160" w:hanging="720"/>
      <w:contextualSpacing/>
    </w:pPr>
  </w:style>
  <w:style w:type="paragraph" w:styleId="ListParagraph">
    <w:name w:val="List Paragraph"/>
    <w:basedOn w:val="Normal"/>
    <w:uiPriority w:val="34"/>
    <w:unhideWhenUsed/>
    <w:rsid w:val="00D37E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B66B0"/>
    <w:rPr>
      <w:rFonts w:ascii="Arial Bold" w:hAnsi="Arial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0DAC-384F-433D-8671-B2FB6A4E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Bonds, Insurance and Warranty Security</vt:lpstr>
    </vt:vector>
  </TitlesOfParts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Bonds, Insurance and Warranty Security</dc:title>
  <dc:creator/>
  <cp:keywords>00 61 14</cp:keywords>
  <dc:description>For use on RMD Tenders only.</dc:description>
  <cp:lastModifiedBy/>
  <cp:revision>1</cp:revision>
  <dcterms:created xsi:type="dcterms:W3CDTF">2023-02-15T00:43:00Z</dcterms:created>
  <dcterms:modified xsi:type="dcterms:W3CDTF">2023-02-17T02:20:00Z</dcterms:modified>
</cp:coreProperties>
</file>